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廊坊市大厂回族自治县供销合作社</w:t>
      </w:r>
    </w:p>
    <w:p>
      <w:pPr>
        <w:ind w:firstLine="880" w:firstLineChars="200"/>
        <w:jc w:val="center"/>
        <w:rPr>
          <w:rFonts w:ascii="方正小标宋简体" w:hAnsi="Times New Roman" w:eastAsia="方正小标宋简体" w:cs="Times New Roman"/>
          <w:sz w:val="44"/>
          <w:szCs w:val="44"/>
        </w:rPr>
      </w:pPr>
      <w:r>
        <w:rPr>
          <w:rFonts w:ascii="方正小标宋简体" w:hAnsi="Times New Roman" w:eastAsia="方正小标宋简体" w:cs="方正小标宋简体"/>
          <w:sz w:val="44"/>
          <w:szCs w:val="44"/>
        </w:rPr>
        <w:t>2017</w:t>
      </w:r>
      <w:r>
        <w:rPr>
          <w:rFonts w:hint="eastAsia" w:ascii="方正小标宋简体" w:hAnsi="Times New Roman" w:eastAsia="方正小标宋简体" w:cs="方正小标宋简体"/>
          <w:sz w:val="44"/>
          <w:szCs w:val="44"/>
        </w:rPr>
        <w:t>年部门预算信息公开</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中华人民共和国</w:t>
      </w:r>
      <w:bookmarkStart w:id="1" w:name="_GoBack"/>
      <w:bookmarkEnd w:id="1"/>
      <w:r>
        <w:rPr>
          <w:rFonts w:hint="eastAsia" w:ascii="仿宋" w:hAnsi="仿宋" w:eastAsia="仿宋" w:cs="仿宋"/>
          <w:sz w:val="32"/>
          <w:szCs w:val="32"/>
        </w:rPr>
        <w:t>预算法》、《地方预决算公开操作规程》和《河北省省级预算公开办法》规定，现将廊坊市大厂回族自治县供销合作社</w:t>
      </w:r>
      <w:r>
        <w:rPr>
          <w:rFonts w:ascii="仿宋" w:hAnsi="仿宋" w:eastAsia="仿宋" w:cs="仿宋"/>
          <w:sz w:val="32"/>
          <w:szCs w:val="32"/>
        </w:rPr>
        <w:t>2017</w:t>
      </w:r>
      <w:r>
        <w:rPr>
          <w:rFonts w:hint="eastAsia" w:ascii="仿宋" w:hAnsi="仿宋" w:eastAsia="仿宋" w:cs="仿宋"/>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、贯彻县委、县政府和市供销社有关农村工作和社会发展的方针、政策，制定全县供销社发展战略和规划，指导全县供销社改革和发展。</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、按照供销合作社章程赋予的合法权益，负责协调与政府各部门和社会组织的关系，促进合作经济的发展。</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、承担全县重要防汛救灾物资的储备工作。</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、根据《河北省食盐加碘消除碘缺乏危害监督管理条例》和有关规定，按照县政府授权，具体负责全县流通领域盐业行政执法管理，食盐批发和零售市场的监督检查，做好全县食盐专营工作。</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、负责指导全县供销社的业务活动，参与、推动和服务农业产业化经营，发展龙头企业、专业合作社和消费合作社，加快农业社会化服务体系和农产品市场体系建设、开拓城乡市场。</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、指导系统实施“科教兴社”战略，指导系统技术创新和技术推广，组织开展对社员和职工教育与培训，为全县供销社提供科技服务和信息服务。</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、负责全县供销社所属企业改革，建立现代企业制度，指导系统党风廉政建设。</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、承办县委、县政府和市供销社交办的其他事项。</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ind w:firstLine="20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12288"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88"/>
        <w:gridCol w:w="1785"/>
        <w:gridCol w:w="1785"/>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273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730" w:type="dxa"/>
            <w:vMerge w:val="continue"/>
            <w:vAlign w:val="center"/>
          </w:tcPr>
          <w:p>
            <w:pPr>
              <w:spacing w:line="300" w:lineRule="exact"/>
              <w:ind w:firstLine="200"/>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5988"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廊坊市大厂回族自治县供销合作社</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行政</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正科级</w:t>
            </w:r>
          </w:p>
        </w:tc>
        <w:tc>
          <w:tcPr>
            <w:tcW w:w="273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财政拨款</w:t>
            </w:r>
          </w:p>
        </w:tc>
      </w:tr>
    </w:tbl>
    <w:p>
      <w:pPr>
        <w:ind w:firstLine="420" w:firstLineChars="200"/>
        <w:rPr>
          <w:rFonts w:cs="Times New Roman"/>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2017</w:t>
      </w:r>
      <w:r>
        <w:rPr>
          <w:rFonts w:hint="eastAsia" w:ascii="仿宋" w:hAnsi="仿宋" w:eastAsia="仿宋" w:cs="仿宋"/>
          <w:sz w:val="32"/>
          <w:szCs w:val="32"/>
        </w:rPr>
        <w:t>年预算收入</w:t>
      </w:r>
      <w:r>
        <w:rPr>
          <w:rFonts w:ascii="仿宋" w:hAnsi="仿宋" w:eastAsia="仿宋" w:cs="仿宋"/>
          <w:sz w:val="32"/>
          <w:szCs w:val="32"/>
        </w:rPr>
        <w:t>231.45</w:t>
      </w:r>
      <w:r>
        <w:rPr>
          <w:rFonts w:hint="eastAsia" w:ascii="仿宋" w:hAnsi="仿宋" w:eastAsia="仿宋" w:cs="仿宋"/>
          <w:sz w:val="32"/>
          <w:szCs w:val="32"/>
        </w:rPr>
        <w:t>万元，其中：一般公共预算收入</w:t>
      </w:r>
      <w:r>
        <w:rPr>
          <w:rFonts w:ascii="仿宋" w:hAnsi="仿宋" w:eastAsia="仿宋" w:cs="仿宋"/>
          <w:sz w:val="32"/>
          <w:szCs w:val="32"/>
        </w:rPr>
        <w:t>231.45</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ind w:firstLine="643" w:firstLineChars="200"/>
        <w:rPr>
          <w:rFonts w:ascii="Times New Roman" w:hAnsi="Times New Roman" w:eastAsia="方正仿宋_GBK" w:cs="Times New Roman"/>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收支预算总表支出栏、基本支出表、项目支出表按经济分类和支出功能分类科目编制，反映廊坊市大厂回族自治县供销合作社</w:t>
      </w:r>
      <w:r>
        <w:rPr>
          <w:rFonts w:ascii="仿宋" w:hAnsi="仿宋" w:eastAsia="仿宋" w:cs="仿宋"/>
          <w:sz w:val="32"/>
          <w:szCs w:val="32"/>
        </w:rPr>
        <w:t>2017</w:t>
      </w:r>
      <w:r>
        <w:rPr>
          <w:rFonts w:hint="eastAsia" w:ascii="仿宋" w:hAnsi="仿宋" w:eastAsia="仿宋" w:cs="仿宋"/>
          <w:sz w:val="32"/>
          <w:szCs w:val="32"/>
        </w:rPr>
        <w:t>年度部门预算中支出预算的总体情况。</w:t>
      </w:r>
      <w:r>
        <w:rPr>
          <w:rFonts w:ascii="仿宋" w:hAnsi="仿宋" w:eastAsia="仿宋" w:cs="仿宋"/>
          <w:sz w:val="32"/>
          <w:szCs w:val="32"/>
        </w:rPr>
        <w:t>2017</w:t>
      </w:r>
      <w:r>
        <w:rPr>
          <w:rFonts w:hint="eastAsia" w:ascii="仿宋" w:hAnsi="仿宋" w:eastAsia="仿宋" w:cs="仿宋"/>
          <w:sz w:val="32"/>
          <w:szCs w:val="32"/>
        </w:rPr>
        <w:t>年支出预算</w:t>
      </w:r>
      <w:r>
        <w:rPr>
          <w:rFonts w:ascii="仿宋" w:hAnsi="仿宋" w:eastAsia="仿宋" w:cs="仿宋"/>
          <w:sz w:val="32"/>
          <w:szCs w:val="32"/>
        </w:rPr>
        <w:t>231.45</w:t>
      </w:r>
      <w:r>
        <w:rPr>
          <w:rFonts w:hint="eastAsia" w:ascii="仿宋" w:hAnsi="仿宋" w:eastAsia="仿宋" w:cs="仿宋"/>
          <w:sz w:val="32"/>
          <w:szCs w:val="32"/>
        </w:rPr>
        <w:t>万元，其中基本支出</w:t>
      </w:r>
      <w:r>
        <w:rPr>
          <w:rFonts w:ascii="仿宋" w:hAnsi="仿宋" w:eastAsia="仿宋" w:cs="仿宋"/>
          <w:sz w:val="32"/>
          <w:szCs w:val="32"/>
        </w:rPr>
        <w:t>231.45</w:t>
      </w:r>
      <w:r>
        <w:rPr>
          <w:rFonts w:hint="eastAsia" w:ascii="仿宋" w:hAnsi="仿宋" w:eastAsia="仿宋" w:cs="仿宋"/>
          <w:sz w:val="32"/>
          <w:szCs w:val="32"/>
        </w:rPr>
        <w:t>万元，包括人员经费和日常公用经费，无项目支出，均为本级支出。</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年预算收支安排</w:t>
      </w:r>
      <w:r>
        <w:rPr>
          <w:rFonts w:ascii="仿宋" w:hAnsi="仿宋" w:eastAsia="仿宋" w:cs="仿宋"/>
          <w:sz w:val="32"/>
          <w:szCs w:val="32"/>
        </w:rPr>
        <w:t>231.45</w:t>
      </w:r>
      <w:r>
        <w:rPr>
          <w:rFonts w:hint="eastAsia" w:ascii="仿宋" w:hAnsi="仿宋" w:eastAsia="仿宋" w:cs="仿宋"/>
          <w:sz w:val="32"/>
          <w:szCs w:val="32"/>
        </w:rPr>
        <w:t>万元，较</w:t>
      </w:r>
      <w:r>
        <w:rPr>
          <w:rFonts w:ascii="仿宋" w:hAnsi="仿宋" w:eastAsia="仿宋" w:cs="仿宋"/>
          <w:sz w:val="32"/>
          <w:szCs w:val="32"/>
        </w:rPr>
        <w:t>2016</w:t>
      </w:r>
      <w:r>
        <w:rPr>
          <w:rFonts w:hint="eastAsia" w:ascii="仿宋" w:hAnsi="仿宋" w:eastAsia="仿宋" w:cs="仿宋"/>
          <w:sz w:val="32"/>
          <w:szCs w:val="32"/>
        </w:rPr>
        <w:t>年预算增加</w:t>
      </w:r>
      <w:r>
        <w:rPr>
          <w:rFonts w:ascii="仿宋" w:hAnsi="仿宋" w:eastAsia="仿宋" w:cs="仿宋"/>
          <w:sz w:val="32"/>
          <w:szCs w:val="32"/>
        </w:rPr>
        <w:t>55.78</w:t>
      </w:r>
      <w:r>
        <w:rPr>
          <w:rFonts w:hint="eastAsia" w:ascii="仿宋" w:hAnsi="仿宋" w:eastAsia="仿宋" w:cs="仿宋"/>
          <w:sz w:val="32"/>
          <w:szCs w:val="32"/>
        </w:rPr>
        <w:t>万元，其中：基本支出增加</w:t>
      </w:r>
      <w:r>
        <w:rPr>
          <w:rFonts w:ascii="仿宋" w:hAnsi="仿宋" w:eastAsia="仿宋" w:cs="仿宋"/>
          <w:sz w:val="32"/>
          <w:szCs w:val="32"/>
        </w:rPr>
        <w:t>55.78</w:t>
      </w:r>
      <w:r>
        <w:rPr>
          <w:rFonts w:hint="eastAsia" w:ascii="仿宋" w:hAnsi="仿宋" w:eastAsia="仿宋" w:cs="仿宋"/>
          <w:sz w:val="32"/>
          <w:szCs w:val="32"/>
        </w:rPr>
        <w:t>万元，主要为增加人员经费支出。</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机关运行经费共计安排</w:t>
      </w:r>
      <w:r>
        <w:rPr>
          <w:rFonts w:ascii="仿宋" w:hAnsi="仿宋" w:eastAsia="仿宋" w:cs="仿宋"/>
          <w:sz w:val="28"/>
          <w:szCs w:val="28"/>
        </w:rPr>
        <w:t>21.45</w:t>
      </w:r>
      <w:r>
        <w:rPr>
          <w:rFonts w:hint="eastAsia" w:ascii="仿宋" w:hAnsi="仿宋" w:eastAsia="仿宋" w:cs="仿宋"/>
          <w:sz w:val="32"/>
          <w:szCs w:val="32"/>
        </w:rPr>
        <w:t>万元，主要用于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年，我部门“三公”经费预算安排</w:t>
      </w:r>
      <w:r>
        <w:rPr>
          <w:rFonts w:ascii="仿宋" w:hAnsi="仿宋" w:eastAsia="仿宋" w:cs="仿宋"/>
          <w:sz w:val="32"/>
          <w:szCs w:val="32"/>
        </w:rPr>
        <w:t>2.41</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w:t>
      </w:r>
      <w:r>
        <w:rPr>
          <w:rFonts w:ascii="仿宋" w:hAnsi="仿宋" w:eastAsia="仿宋" w:cs="仿宋"/>
          <w:sz w:val="32"/>
          <w:szCs w:val="32"/>
        </w:rPr>
        <w:t>2.3</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2.3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0.11</w:t>
      </w:r>
      <w:r>
        <w:rPr>
          <w:rFonts w:hint="eastAsia" w:ascii="仿宋" w:hAnsi="仿宋" w:eastAsia="仿宋" w:cs="仿宋"/>
          <w:sz w:val="32"/>
          <w:szCs w:val="32"/>
        </w:rPr>
        <w:t>万元。公务用车购置及运维费与</w:t>
      </w:r>
      <w:r>
        <w:rPr>
          <w:rFonts w:ascii="仿宋" w:hAnsi="仿宋" w:eastAsia="仿宋" w:cs="仿宋"/>
          <w:sz w:val="32"/>
          <w:szCs w:val="32"/>
        </w:rPr>
        <w:t>2016</w:t>
      </w:r>
      <w:r>
        <w:rPr>
          <w:rFonts w:hint="eastAsia" w:ascii="仿宋" w:hAnsi="仿宋" w:eastAsia="仿宋" w:cs="仿宋"/>
          <w:sz w:val="32"/>
          <w:szCs w:val="32"/>
        </w:rPr>
        <w:t>年度同比持平，无增减变化；公务接待费与</w:t>
      </w:r>
      <w:r>
        <w:rPr>
          <w:rFonts w:ascii="仿宋" w:hAnsi="仿宋" w:eastAsia="仿宋" w:cs="仿宋"/>
          <w:sz w:val="32"/>
          <w:szCs w:val="32"/>
        </w:rPr>
        <w:t>2016</w:t>
      </w:r>
      <w:r>
        <w:rPr>
          <w:rFonts w:hint="eastAsia" w:ascii="仿宋" w:hAnsi="仿宋" w:eastAsia="仿宋" w:cs="仿宋"/>
          <w:sz w:val="32"/>
          <w:szCs w:val="32"/>
        </w:rPr>
        <w:t>年相比减少</w:t>
      </w:r>
      <w:r>
        <w:rPr>
          <w:rFonts w:ascii="仿宋" w:hAnsi="仿宋" w:eastAsia="仿宋" w:cs="仿宋"/>
          <w:sz w:val="32"/>
          <w:szCs w:val="32"/>
        </w:rPr>
        <w:t>0.18</w:t>
      </w:r>
      <w:r>
        <w:rPr>
          <w:rFonts w:hint="eastAsia" w:ascii="仿宋" w:hAnsi="仿宋" w:eastAsia="仿宋" w:cs="仿宋"/>
          <w:sz w:val="32"/>
          <w:szCs w:val="32"/>
        </w:rPr>
        <w:t>万元，主要减少原因为严格控制接待标准和费用。</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总体绩效目标：</w:t>
      </w:r>
    </w:p>
    <w:p>
      <w:pPr>
        <w:ind w:firstLine="640" w:firstLineChars="20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廊坊市大厂回族自治县供销合作社，以绩效目标实现为导向，进一步加强制度建设，提升自评质量，预算绩效管理取得新成效。一是抓好绩效目标编制，及时报送绩效目标。二是探索绩效跟踪监控，要求加强过程监控。三是健全绩效管理工作机制，明确职责分工，努力提高了绩效管理工作水平。</w:t>
      </w:r>
    </w:p>
    <w:p>
      <w:pPr>
        <w:ind w:firstLine="643" w:firstLineChars="200"/>
        <w:jc w:val="left"/>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tbl>
      <w:tblPr>
        <w:tblStyle w:val="6"/>
        <w:tblW w:w="14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168"/>
        <w:gridCol w:w="1808"/>
        <w:gridCol w:w="2976"/>
        <w:gridCol w:w="781"/>
        <w:gridCol w:w="636"/>
        <w:gridCol w:w="776"/>
        <w:gridCol w:w="776"/>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5"/>
          <w:wBefore w:w="4785" w:type="dxa"/>
          <w:wAfter w:w="3662" w:type="dxa"/>
          <w:trHeight w:val="705" w:hRule="atLeast"/>
          <w:tblHeader/>
          <w:jc w:val="center"/>
        </w:trPr>
        <w:tc>
          <w:tcPr>
            <w:tcW w:w="5565" w:type="dxa"/>
            <w:gridSpan w:val="3"/>
            <w:tcBorders>
              <w:top w:val="nil"/>
              <w:left w:val="nil"/>
              <w:bottom w:val="nil"/>
              <w:right w:val="nil"/>
            </w:tcBorders>
          </w:tcPr>
          <w:p>
            <w:pPr>
              <w:jc w:val="center"/>
              <w:outlineLvl w:val="0"/>
              <w:rPr>
                <w:rFonts w:ascii="方正小标宋_GBK" w:eastAsia="方正小标宋_GBK" w:cs="Times New Roman"/>
                <w:sz w:val="32"/>
                <w:szCs w:val="32"/>
              </w:rPr>
            </w:pPr>
            <w:bookmarkStart w:id="0" w:name="_Toc477342769"/>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8"/>
                <w:szCs w:val="28"/>
              </w:rPr>
            </w:pPr>
            <w:r>
              <w:rPr>
                <w:rFonts w:ascii="方正小标宋_GBK" w:eastAsia="方正小标宋_GBK" w:cs="方正小标宋_GBK"/>
                <w:sz w:val="28"/>
                <w:szCs w:val="28"/>
              </w:rPr>
              <w:t>957</w:t>
            </w:r>
            <w:r>
              <w:rPr>
                <w:rFonts w:hint="eastAsia" w:ascii="方正小标宋_GBK" w:eastAsia="方正小标宋_GBK" w:cs="方正小标宋_GBK"/>
                <w:sz w:val="28"/>
                <w:szCs w:val="28"/>
              </w:rPr>
              <w:t>供销合作社</w:t>
            </w:r>
          </w:p>
        </w:tc>
        <w:tc>
          <w:tcPr>
            <w:tcW w:w="3026"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8"/>
                <w:szCs w:val="28"/>
              </w:rPr>
            </w:pPr>
            <w:r>
              <w:rPr>
                <w:rFonts w:hint="eastAsia" w:ascii="方正书宋_GBK" w:eastAsia="方正书宋_GBK" w:cs="方正书宋_GBK"/>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职责活动</w:t>
            </w:r>
          </w:p>
        </w:tc>
        <w:tc>
          <w:tcPr>
            <w:tcW w:w="12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年度预算数</w:t>
            </w:r>
          </w:p>
        </w:tc>
        <w:tc>
          <w:tcPr>
            <w:tcW w:w="2976"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内容描述</w:t>
            </w:r>
          </w:p>
        </w:tc>
        <w:tc>
          <w:tcPr>
            <w:tcW w:w="29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绩效目标</w:t>
            </w:r>
          </w:p>
        </w:tc>
        <w:tc>
          <w:tcPr>
            <w:tcW w:w="1417"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绩效指标</w:t>
            </w:r>
          </w:p>
        </w:tc>
        <w:tc>
          <w:tcPr>
            <w:tcW w:w="3026" w:type="dxa"/>
            <w:gridSpan w:val="4"/>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Times New Roman"/>
                <w:sz w:val="28"/>
                <w:szCs w:val="28"/>
              </w:rPr>
            </w:pPr>
          </w:p>
        </w:tc>
        <w:tc>
          <w:tcPr>
            <w:tcW w:w="1276" w:type="dxa"/>
            <w:vMerge w:val="continue"/>
            <w:vAlign w:val="center"/>
          </w:tcPr>
          <w:p>
            <w:pPr>
              <w:spacing w:line="300" w:lineRule="exact"/>
              <w:jc w:val="left"/>
              <w:outlineLvl w:val="0"/>
              <w:rPr>
                <w:rFonts w:ascii="仿宋" w:hAnsi="仿宋" w:eastAsia="仿宋" w:cs="Times New Roman"/>
                <w:sz w:val="28"/>
                <w:szCs w:val="28"/>
              </w:rPr>
            </w:pPr>
          </w:p>
        </w:tc>
        <w:tc>
          <w:tcPr>
            <w:tcW w:w="2976" w:type="dxa"/>
            <w:gridSpan w:val="2"/>
            <w:vMerge w:val="continue"/>
            <w:vAlign w:val="center"/>
          </w:tcPr>
          <w:p>
            <w:pPr>
              <w:spacing w:line="300" w:lineRule="exact"/>
              <w:jc w:val="left"/>
              <w:outlineLvl w:val="0"/>
              <w:rPr>
                <w:rFonts w:ascii="仿宋" w:hAnsi="仿宋" w:eastAsia="仿宋" w:cs="Times New Roman"/>
                <w:sz w:val="28"/>
                <w:szCs w:val="28"/>
              </w:rPr>
            </w:pPr>
          </w:p>
        </w:tc>
        <w:tc>
          <w:tcPr>
            <w:tcW w:w="2976" w:type="dxa"/>
            <w:vMerge w:val="continue"/>
            <w:vAlign w:val="center"/>
          </w:tcPr>
          <w:p>
            <w:pPr>
              <w:spacing w:line="300" w:lineRule="exact"/>
              <w:jc w:val="left"/>
              <w:outlineLvl w:val="0"/>
              <w:rPr>
                <w:rFonts w:ascii="仿宋" w:hAnsi="仿宋" w:eastAsia="仿宋" w:cs="Times New Roman"/>
                <w:sz w:val="28"/>
                <w:szCs w:val="28"/>
              </w:rPr>
            </w:pPr>
          </w:p>
        </w:tc>
        <w:tc>
          <w:tcPr>
            <w:tcW w:w="1417" w:type="dxa"/>
            <w:gridSpan w:val="2"/>
            <w:vMerge w:val="continue"/>
            <w:vAlign w:val="center"/>
          </w:tcPr>
          <w:p>
            <w:pPr>
              <w:spacing w:line="300" w:lineRule="exact"/>
              <w:jc w:val="left"/>
              <w:outlineLvl w:val="0"/>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优</w:t>
            </w: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良</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中</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供销流通管理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贯彻落实党和政府商业流通有关方针政策，研究制定行业发展战略和规划，组织指导行业改革发展，负责行业管理，开展教育培训，维护合法权益</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确保供销社事业改革、发展和壮大、发挥供销社在商业流通服务的作用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发展现代流通网络建设及管理</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健全农资、农副产品、日用消费品、再生资源回收利用四大网络，加快形成连锁化、规模化、品牌化经营服务新格局；发展农村电子商务，形成网上交易、仓储物流、终端配送一体化经营，推动线上线下融合发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连锁经营销售额占全县供销社销售额比重</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15%</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全县供销社流通网络购销总额增长率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社属企业运营管理及建设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指导社属企业经营管理，对社属企业进行监督检查，完善企业运营管理制度并监督执行，行使出资人职能、确保社有资产的安全和增值</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社有企业实现跨越式发展，供销社体制机制明显优化，营业收入、利润总额和净资产均有不同程度增长。</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利润总额增长率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营业收入增长率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社有资产增值比率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服务三农事务管理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贯彻落实党和政府有关</w:t>
            </w:r>
            <w:r>
              <w:rPr>
                <w:rFonts w:ascii="仿宋" w:hAnsi="仿宋" w:eastAsia="仿宋" w:cs="仿宋"/>
                <w:sz w:val="28"/>
                <w:szCs w:val="28"/>
              </w:rPr>
              <w:t xml:space="preserve"> </w:t>
            </w:r>
            <w:r>
              <w:rPr>
                <w:rFonts w:hint="eastAsia" w:ascii="仿宋" w:hAnsi="仿宋" w:eastAsia="仿宋" w:cs="仿宋"/>
                <w:sz w:val="28"/>
                <w:szCs w:val="28"/>
              </w:rPr>
              <w:t>服务“三农”方针政策，以供销合作社体系为依托，自下而上组建农民合作社联合社、创新组织体系、服务体系和农村金融体系</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紧紧围绕“三农”工作大局，以密切与农民利益联结为核心，以提升为农服务能力为根本，以强化基</w:t>
            </w:r>
            <w:r>
              <w:rPr>
                <w:rFonts w:ascii="仿宋" w:hAnsi="仿宋" w:eastAsia="仿宋" w:cs="仿宋"/>
                <w:sz w:val="28"/>
                <w:szCs w:val="28"/>
              </w:rPr>
              <w:t xml:space="preserve"> </w:t>
            </w:r>
            <w:r>
              <w:rPr>
                <w:rFonts w:hint="eastAsia" w:ascii="仿宋" w:hAnsi="仿宋" w:eastAsia="仿宋" w:cs="仿宋"/>
                <w:sz w:val="28"/>
                <w:szCs w:val="28"/>
              </w:rPr>
              <w:t>层社和创新联合社治理机制为重点，按照政事分开、社企分开的方向，推进体制改革和机制创新，加快建成适应社会主义市场经济需要、适应城乡发展一体化需要、适应中国特色农业现代化需要的组织体系和服务机制。</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组织体系建设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以供销合作社体系为依托，自下而上组建农民合作社联合社</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组建农民合作社联合社</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带动区域内产业发展个数</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w:t>
            </w: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联合农民专业合作社个数</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7</w:t>
            </w: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服务体系建设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供销合作社要把为农服务放在首位。面向农业现代化、面向农民生产生活，推动供销合作社由流通服务向全程农业社会化服务延伸、向全方位城乡社区服务拓展，</w:t>
            </w:r>
            <w:r>
              <w:rPr>
                <w:rFonts w:ascii="仿宋" w:hAnsi="仿宋" w:eastAsia="仿宋" w:cs="仿宋"/>
                <w:sz w:val="28"/>
                <w:szCs w:val="28"/>
              </w:rPr>
              <w:t xml:space="preserve"> </w:t>
            </w:r>
            <w:r>
              <w:rPr>
                <w:rFonts w:hint="eastAsia" w:ascii="仿宋" w:hAnsi="仿宋" w:eastAsia="仿宋" w:cs="仿宋"/>
                <w:sz w:val="28"/>
                <w:szCs w:val="28"/>
              </w:rPr>
              <w:t>参与农业综合开发，加快形成综合性、规模化、可持续的为农服务体系，在农资供应、农产品流通、农民技能培训等重点领域和环节为农民提供便利实惠、安全优质的服务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服务体系覆盖率</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示范性培训新型农民和农村实用技能人才人次</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以上</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农村社区综合服务中心（社、站）数量</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创新农村金融体系建设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新金融服务方式和手段，创建农村合作金融服务体系，以企业为主体，以市场为导向，通过组织上积极引导、利益上不断凝聚、服务上广泛吸引，整合投资管理、农村产权交易、融资担保、合作保险和农产品电商等业态，稳步开展农村合作金融服务，实现服务三农、普惠金融目标，真正将供销社打造成上下贯通、利益链接、一体化运营的为农服务的生力军和综合平台</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创建农村合作金融体系</w:t>
            </w:r>
            <w:r>
              <w:rPr>
                <w:rFonts w:ascii="仿宋" w:hAnsi="仿宋" w:eastAsia="仿宋" w:cs="仿宋"/>
                <w:sz w:val="28"/>
                <w:szCs w:val="28"/>
              </w:rPr>
              <w:t>,</w:t>
            </w:r>
            <w:r>
              <w:rPr>
                <w:rFonts w:hint="eastAsia" w:ascii="仿宋" w:hAnsi="仿宋" w:eastAsia="仿宋" w:cs="仿宋"/>
                <w:sz w:val="28"/>
                <w:szCs w:val="28"/>
              </w:rPr>
              <w:t>拓宽“三农”融资的渠道，按照统一要求、标准、计划，完成各项工作的建设任务，实现供销社合作金融体系上下贯通、利益链接、一体化运营。初步实现供销金融超市全县基层全覆盖</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建设金融超市和村级助农服务网点数量（家）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物资储备管理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按照政府授权，承担管理食盐及救灾物资等重要物资的储备任务</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充分发挥供销社在流通领域的应急调控作用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重要商品物资储备及监管</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调节商品供求关系，稳定物价、保障市场供应、保证防汛救灾的需要、增强政府对市场的宏观调控能力和应急保障</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安排、组织代储企业依据储备计划及时足额、保质保量做好储备商品的收储、轮换等工作</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质量良好率</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储备计划完成率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组织开展全县盐业行政执法活动，打击盐业违法行为、对直属企业进行改革和管理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保障食盐在流通环节的安全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组织实施盐政执法</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组织开展全县盐业行政执法活动，打击盐业违法行为，查处重大盐业违法案件。规范盐业行政执法案件程序和执法案卷；追究执法过错责任，纠正违法执法行为</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全县盐业违法行为得到有效打击和遏制，实现食盐安全生产和流通</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食盐产品合格率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盐业执法人员培训考核通过率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重大盐业违法行为、案件处理率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w:t>
            </w:r>
          </w:p>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盐业体制改革</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按照县政府安排推动盐业体制改革工作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完成县政府交办的改革任务</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县政府改革任务完成率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供销合作政务管理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负责供销合作社系统综合业务管理和机关综合事务管理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r>
              <w:rPr>
                <w:rFonts w:ascii="仿宋" w:hAnsi="仿宋" w:eastAsia="仿宋" w:cs="仿宋"/>
                <w:sz w:val="28"/>
                <w:szCs w:val="28"/>
              </w:rPr>
              <w:t>,</w:t>
            </w: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综合业务管理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制订系统发展战略和规划、指导系统业务活动和综合改革试点及事业发展；开展行业调查研究，制定相关行业政策、法规规章制度；信访接待、业务宣传、政务信息公开等工作。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系统业务活动完成率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会议组织管理、信息化建设与维护、机关财务和资产管理、标准化建设、基建及维修、设备购置、人事管理、机关党工委工作、老干部工作等。</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综合行政事务办结率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bl>
    <w:p>
      <w:pPr>
        <w:jc w:val="center"/>
        <w:outlineLvl w:val="0"/>
        <w:rPr>
          <w:rFonts w:ascii="宋体" w:cs="Times New Roman"/>
          <w:b/>
          <w:bCs/>
          <w:sz w:val="28"/>
          <w:szCs w:val="28"/>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outlineLvl w:val="0"/>
        <w:rPr>
          <w:rFonts w:ascii="仿宋" w:hAnsi="仿宋" w:eastAsia="仿宋" w:cs="Times New Roman"/>
          <w:sz w:val="32"/>
          <w:szCs w:val="32"/>
        </w:rPr>
      </w:pPr>
      <w:r>
        <w:rPr>
          <w:rFonts w:ascii="仿宋" w:hAnsi="仿宋" w:eastAsia="仿宋" w:cs="仿宋"/>
          <w:sz w:val="32"/>
          <w:szCs w:val="32"/>
        </w:rPr>
        <w:t>2017</w:t>
      </w:r>
      <w:r>
        <w:rPr>
          <w:rFonts w:hint="eastAsia" w:ascii="仿宋" w:hAnsi="仿宋" w:eastAsia="仿宋" w:cs="仿宋"/>
          <w:sz w:val="32"/>
          <w:szCs w:val="32"/>
        </w:rPr>
        <w:t>年，我部门未安排政府采购预算。</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autoSpaceDE w:val="0"/>
        <w:autoSpaceDN w:val="0"/>
        <w:adjustRightInd w:val="0"/>
        <w:ind w:firstLine="640" w:firstLineChars="200"/>
        <w:jc w:val="left"/>
        <w:rPr>
          <w:rFonts w:ascii="仿宋" w:hAnsi="仿宋" w:eastAsia="仿宋" w:cs="Times New Roman"/>
          <w:sz w:val="32"/>
          <w:szCs w:val="32"/>
        </w:rPr>
      </w:pPr>
      <w:r>
        <w:rPr>
          <w:rFonts w:hint="eastAsia" w:ascii="仿宋" w:hAnsi="仿宋" w:eastAsia="仿宋" w:cs="仿宋"/>
          <w:sz w:val="32"/>
          <w:szCs w:val="32"/>
        </w:rPr>
        <w:t>廊坊市大厂回族自治县供销合作社上年末固定资产金额为</w:t>
      </w:r>
      <w:r>
        <w:rPr>
          <w:rFonts w:ascii="仿宋" w:hAnsi="仿宋" w:eastAsia="仿宋" w:cs="仿宋"/>
          <w:sz w:val="32"/>
          <w:szCs w:val="32"/>
        </w:rPr>
        <w:t>27.88</w:t>
      </w:r>
      <w:r>
        <w:rPr>
          <w:rFonts w:hint="eastAsia" w:ascii="仿宋" w:hAnsi="仿宋" w:eastAsia="仿宋" w:cs="仿宋"/>
          <w:sz w:val="32"/>
          <w:szCs w:val="32"/>
        </w:rPr>
        <w:t>万元，本年度无拟购置固定资产。</w:t>
      </w:r>
    </w:p>
    <w:tbl>
      <w:tblPr>
        <w:tblStyle w:val="6"/>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编制部门：廊坊市大厂回族自治县供销合作社</w:t>
            </w:r>
          </w:p>
        </w:tc>
        <w:tc>
          <w:tcPr>
            <w:tcW w:w="5103" w:type="dxa"/>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截止时间：</w:t>
            </w:r>
            <w:r>
              <w:rPr>
                <w:rFonts w:ascii="方正仿宋_GBK" w:hAnsi="宋体" w:eastAsia="方正仿宋_GBK" w:cs="方正仿宋_GBK"/>
                <w:kern w:val="0"/>
                <w:sz w:val="32"/>
                <w:szCs w:val="32"/>
              </w:rPr>
              <w:t>2016</w:t>
            </w:r>
            <w:r>
              <w:rPr>
                <w:rFonts w:hint="eastAsia" w:ascii="方正仿宋_GBK" w:hAnsi="宋体" w:eastAsia="方正仿宋_GBK" w:cs="方正仿宋_GBK"/>
                <w:kern w:val="0"/>
                <w:sz w:val="32"/>
                <w:szCs w:val="32"/>
              </w:rPr>
              <w:t>年</w:t>
            </w:r>
            <w:r>
              <w:rPr>
                <w:rFonts w:ascii="方正仿宋_GBK" w:hAnsi="宋体" w:eastAsia="方正仿宋_GBK" w:cs="方正仿宋_GBK"/>
                <w:kern w:val="0"/>
                <w:sz w:val="32"/>
                <w:szCs w:val="32"/>
              </w:rPr>
              <w:t>12</w:t>
            </w:r>
            <w:r>
              <w:rPr>
                <w:rFonts w:hint="eastAsia" w:ascii="方正仿宋_GBK" w:hAnsi="宋体" w:eastAsia="方正仿宋_GBK" w:cs="方正仿宋_GBK"/>
                <w:kern w:val="0"/>
                <w:sz w:val="32"/>
                <w:szCs w:val="32"/>
              </w:rPr>
              <w:t>月</w:t>
            </w:r>
            <w:r>
              <w:rPr>
                <w:rFonts w:ascii="方正仿宋_GBK" w:hAnsi="宋体" w:eastAsia="方正仿宋_GBK" w:cs="方正仿宋_GBK"/>
                <w:kern w:val="0"/>
                <w:sz w:val="32"/>
                <w:szCs w:val="32"/>
              </w:rPr>
              <w:t>31</w:t>
            </w:r>
            <w:r>
              <w:rPr>
                <w:rFonts w:hint="eastAsia" w:ascii="方正仿宋_GBK" w:hAnsi="宋体" w:eastAsia="方正仿宋_GBK" w:cs="方正仿宋_GBK"/>
                <w:kern w:val="0"/>
                <w:sz w:val="32"/>
                <w:szCs w:val="32"/>
              </w:rPr>
              <w:t>日</w:t>
            </w:r>
            <w:r>
              <w:rPr>
                <w:rFonts w:ascii="方正仿宋_GBK" w:hAnsi="宋体" w:eastAsia="方正仿宋_GBK" w:cs="方正仿宋_GBK"/>
                <w:kern w:val="0"/>
                <w:sz w:val="32"/>
                <w:szCs w:val="3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项</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r>
              <w:rPr>
                <w:rFonts w:ascii="仿宋" w:hAnsi="仿宋" w:eastAsia="仿宋" w:cs="仿宋"/>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27.88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1</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10.60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、单价在</w:t>
            </w:r>
            <w:r>
              <w:rPr>
                <w:rFonts w:ascii="仿宋" w:hAnsi="仿宋" w:eastAsia="仿宋" w:cs="仿宋"/>
                <w:kern w:val="0"/>
                <w:sz w:val="32"/>
                <w:szCs w:val="32"/>
              </w:rPr>
              <w:t>20</w:t>
            </w:r>
            <w:r>
              <w:rPr>
                <w:rFonts w:hint="eastAsia" w:ascii="仿宋" w:hAnsi="仿宋" w:eastAsia="仿宋" w:cs="仿宋"/>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17.28</w:t>
            </w:r>
          </w:p>
        </w:tc>
      </w:tr>
    </w:tbl>
    <w:p>
      <w:pPr>
        <w:autoSpaceDE w:val="0"/>
        <w:autoSpaceDN w:val="0"/>
        <w:adjustRightInd w:val="0"/>
        <w:ind w:left="198"/>
        <w:jc w:val="left"/>
        <w:rPr>
          <w:rFonts w:ascii="方正黑体_GBK" w:hAnsi="黑体" w:eastAsia="方正黑体_GBK" w:cs="Times New Roman"/>
          <w:color w:val="FF0000"/>
          <w:sz w:val="32"/>
          <w:szCs w:val="32"/>
        </w:rPr>
      </w:pPr>
    </w:p>
    <w:p>
      <w:pPr>
        <w:pStyle w:val="10"/>
        <w:ind w:firstLine="640" w:firstLineChars="200"/>
        <w:rPr>
          <w:rFonts w:ascii="黑体" w:hAnsi="黑体" w:eastAsia="黑体"/>
          <w:color w:val="auto"/>
          <w:kern w:val="2"/>
          <w:sz w:val="32"/>
          <w:szCs w:val="32"/>
        </w:rPr>
      </w:pPr>
      <w:r>
        <w:rPr>
          <w:rFonts w:hint="eastAsia" w:ascii="黑体" w:hAnsi="黑体" w:eastAsia="黑体" w:cs="黑体"/>
          <w:color w:val="auto"/>
          <w:kern w:val="2"/>
          <w:sz w:val="32"/>
          <w:szCs w:val="32"/>
        </w:rPr>
        <w:t>八、名词解释</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1</w:t>
      </w:r>
      <w:r>
        <w:rPr>
          <w:rFonts w:hint="eastAsia" w:ascii="仿宋" w:hAnsi="仿宋" w:eastAsia="仿宋" w:cs="仿宋"/>
          <w:color w:val="auto"/>
          <w:kern w:val="2"/>
          <w:sz w:val="32"/>
          <w:szCs w:val="32"/>
        </w:rPr>
        <w:t>、一般公共预算拨款收入：指县级财政当年拨付的资金。</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2</w:t>
      </w:r>
      <w:r>
        <w:rPr>
          <w:rFonts w:hint="eastAsia" w:ascii="仿宋" w:hAnsi="仿宋" w:eastAsia="仿宋" w:cs="仿宋"/>
          <w:color w:val="auto"/>
          <w:kern w:val="2"/>
          <w:sz w:val="32"/>
          <w:szCs w:val="32"/>
        </w:rPr>
        <w:t>、事业收入：指事业单位开展专业业务活动及辅助活动所取得的收入。</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3</w:t>
      </w:r>
      <w:r>
        <w:rPr>
          <w:rFonts w:hint="eastAsia" w:ascii="仿宋" w:hAnsi="仿宋" w:eastAsia="仿宋" w:cs="仿宋"/>
          <w:color w:val="auto"/>
          <w:kern w:val="2"/>
          <w:sz w:val="32"/>
          <w:szCs w:val="32"/>
        </w:rPr>
        <w:t>、其他收入：指除上述“财政拨款收入”、“事业收入”等以外的收入。主要是按规定动用的租房收入、存款利息收入等。</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4</w:t>
      </w:r>
      <w:r>
        <w:rPr>
          <w:rFonts w:hint="eastAsia" w:ascii="仿宋" w:hAnsi="仿宋" w:eastAsia="仿宋" w:cs="仿宋"/>
          <w:color w:val="auto"/>
          <w:kern w:val="2"/>
          <w:sz w:val="32"/>
          <w:szCs w:val="32"/>
        </w:rPr>
        <w:t>、基本支出：指为保障机构正常运转、完成日常工作任务而发生的人员支出和公用支出。</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6</w:t>
      </w:r>
      <w:r>
        <w:rPr>
          <w:rFonts w:hint="eastAsia" w:ascii="仿宋" w:hAnsi="仿宋" w:eastAsia="仿宋" w:cs="仿宋"/>
          <w:color w:val="auto"/>
          <w:kern w:val="2"/>
          <w:sz w:val="32"/>
          <w:szCs w:val="32"/>
        </w:rPr>
        <w:t>、上缴上级支出：指下级单位上缴上级的支出。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7</w:t>
      </w:r>
      <w:r>
        <w:rPr>
          <w:rFonts w:hint="eastAsia" w:ascii="仿宋" w:hAnsi="仿宋" w:eastAsia="仿宋" w:cs="仿宋"/>
          <w:color w:val="auto"/>
          <w:kern w:val="2"/>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、我单位不涉及政府性基金支出和国有资本经营支出，因此部门预算政府性基金预算财政拨款支出表和国有资本经营预算财政拨款支出表没有数据。</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、我单位无政府采购支出和非税收入。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10" w:usb3="00000000" w:csb0="00040000" w:csb1="00000000"/>
  </w:font>
  <w:font w:name="方正黑体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1464E"/>
    <w:rsid w:val="00035B59"/>
    <w:rsid w:val="00037603"/>
    <w:rsid w:val="00037AF6"/>
    <w:rsid w:val="00045A61"/>
    <w:rsid w:val="000551B2"/>
    <w:rsid w:val="00063D46"/>
    <w:rsid w:val="00075D5F"/>
    <w:rsid w:val="0009672E"/>
    <w:rsid w:val="000C3A19"/>
    <w:rsid w:val="000F7801"/>
    <w:rsid w:val="001245BB"/>
    <w:rsid w:val="00126DB3"/>
    <w:rsid w:val="00132E9D"/>
    <w:rsid w:val="00133C1E"/>
    <w:rsid w:val="00153D0B"/>
    <w:rsid w:val="00160C6C"/>
    <w:rsid w:val="0018479D"/>
    <w:rsid w:val="00185FC7"/>
    <w:rsid w:val="001A35BF"/>
    <w:rsid w:val="001B369F"/>
    <w:rsid w:val="001C2430"/>
    <w:rsid w:val="001D1FD4"/>
    <w:rsid w:val="001E62D1"/>
    <w:rsid w:val="001F55D2"/>
    <w:rsid w:val="00206BF3"/>
    <w:rsid w:val="0022374F"/>
    <w:rsid w:val="002362C3"/>
    <w:rsid w:val="00241FD4"/>
    <w:rsid w:val="00247064"/>
    <w:rsid w:val="00251B12"/>
    <w:rsid w:val="00262359"/>
    <w:rsid w:val="002645FB"/>
    <w:rsid w:val="00296113"/>
    <w:rsid w:val="002C29FB"/>
    <w:rsid w:val="002E38C5"/>
    <w:rsid w:val="002F3E58"/>
    <w:rsid w:val="0030542C"/>
    <w:rsid w:val="00311B7A"/>
    <w:rsid w:val="0031584D"/>
    <w:rsid w:val="00330320"/>
    <w:rsid w:val="00373974"/>
    <w:rsid w:val="003A369C"/>
    <w:rsid w:val="003A4FAA"/>
    <w:rsid w:val="003B33A8"/>
    <w:rsid w:val="003C0DED"/>
    <w:rsid w:val="003E1A7F"/>
    <w:rsid w:val="0041762E"/>
    <w:rsid w:val="00424BA8"/>
    <w:rsid w:val="004316A4"/>
    <w:rsid w:val="00451871"/>
    <w:rsid w:val="00467469"/>
    <w:rsid w:val="00472923"/>
    <w:rsid w:val="00492152"/>
    <w:rsid w:val="00492214"/>
    <w:rsid w:val="004B1084"/>
    <w:rsid w:val="004C61E8"/>
    <w:rsid w:val="004E3066"/>
    <w:rsid w:val="004E74CD"/>
    <w:rsid w:val="00526EBA"/>
    <w:rsid w:val="0056274F"/>
    <w:rsid w:val="00573562"/>
    <w:rsid w:val="005947F7"/>
    <w:rsid w:val="00614A29"/>
    <w:rsid w:val="00625B9C"/>
    <w:rsid w:val="0062743C"/>
    <w:rsid w:val="006415EB"/>
    <w:rsid w:val="006A4B91"/>
    <w:rsid w:val="006A6EFB"/>
    <w:rsid w:val="006C1323"/>
    <w:rsid w:val="006C5021"/>
    <w:rsid w:val="006D6F71"/>
    <w:rsid w:val="0070101A"/>
    <w:rsid w:val="0071444A"/>
    <w:rsid w:val="00750698"/>
    <w:rsid w:val="0075393C"/>
    <w:rsid w:val="00755FD9"/>
    <w:rsid w:val="00776C08"/>
    <w:rsid w:val="00796358"/>
    <w:rsid w:val="007B4EE0"/>
    <w:rsid w:val="007E1DA8"/>
    <w:rsid w:val="007F6C26"/>
    <w:rsid w:val="00807E22"/>
    <w:rsid w:val="00822115"/>
    <w:rsid w:val="00827E9F"/>
    <w:rsid w:val="008334AE"/>
    <w:rsid w:val="00836FED"/>
    <w:rsid w:val="00845CD2"/>
    <w:rsid w:val="008502D8"/>
    <w:rsid w:val="00852B0D"/>
    <w:rsid w:val="0087549F"/>
    <w:rsid w:val="00881692"/>
    <w:rsid w:val="00896C0C"/>
    <w:rsid w:val="008A3B17"/>
    <w:rsid w:val="008B042F"/>
    <w:rsid w:val="008B3CC5"/>
    <w:rsid w:val="008C2BAF"/>
    <w:rsid w:val="008E3E7A"/>
    <w:rsid w:val="008E4261"/>
    <w:rsid w:val="008F4662"/>
    <w:rsid w:val="00905D08"/>
    <w:rsid w:val="009123F0"/>
    <w:rsid w:val="00925753"/>
    <w:rsid w:val="00927EBB"/>
    <w:rsid w:val="00966C5C"/>
    <w:rsid w:val="00973104"/>
    <w:rsid w:val="009C2175"/>
    <w:rsid w:val="009C3817"/>
    <w:rsid w:val="009F081F"/>
    <w:rsid w:val="00A17B4B"/>
    <w:rsid w:val="00A27A76"/>
    <w:rsid w:val="00A51E4F"/>
    <w:rsid w:val="00A72D2E"/>
    <w:rsid w:val="00A86850"/>
    <w:rsid w:val="00A911E7"/>
    <w:rsid w:val="00A939D9"/>
    <w:rsid w:val="00A97DB6"/>
    <w:rsid w:val="00AA5E05"/>
    <w:rsid w:val="00AD4097"/>
    <w:rsid w:val="00AF1EBA"/>
    <w:rsid w:val="00B07267"/>
    <w:rsid w:val="00B13148"/>
    <w:rsid w:val="00B141A8"/>
    <w:rsid w:val="00B20712"/>
    <w:rsid w:val="00B22500"/>
    <w:rsid w:val="00B43238"/>
    <w:rsid w:val="00B75216"/>
    <w:rsid w:val="00B916B0"/>
    <w:rsid w:val="00B91D52"/>
    <w:rsid w:val="00BA1ACD"/>
    <w:rsid w:val="00BB3BD4"/>
    <w:rsid w:val="00BE147F"/>
    <w:rsid w:val="00BE4B2C"/>
    <w:rsid w:val="00C46B80"/>
    <w:rsid w:val="00C47493"/>
    <w:rsid w:val="00C62EA6"/>
    <w:rsid w:val="00C667C6"/>
    <w:rsid w:val="00C90F19"/>
    <w:rsid w:val="00CA7176"/>
    <w:rsid w:val="00CD2773"/>
    <w:rsid w:val="00CE143B"/>
    <w:rsid w:val="00CF78ED"/>
    <w:rsid w:val="00D3008E"/>
    <w:rsid w:val="00D93604"/>
    <w:rsid w:val="00DE26A5"/>
    <w:rsid w:val="00DF047A"/>
    <w:rsid w:val="00DF45ED"/>
    <w:rsid w:val="00E00A0E"/>
    <w:rsid w:val="00E06E31"/>
    <w:rsid w:val="00E167C7"/>
    <w:rsid w:val="00E227FA"/>
    <w:rsid w:val="00E47C91"/>
    <w:rsid w:val="00E91838"/>
    <w:rsid w:val="00EC3092"/>
    <w:rsid w:val="00EC47F6"/>
    <w:rsid w:val="00EC6D91"/>
    <w:rsid w:val="00ED37C6"/>
    <w:rsid w:val="00EE0272"/>
    <w:rsid w:val="00EE1B43"/>
    <w:rsid w:val="00F0605C"/>
    <w:rsid w:val="00F153EF"/>
    <w:rsid w:val="00F40C88"/>
    <w:rsid w:val="00F45B34"/>
    <w:rsid w:val="00F66032"/>
    <w:rsid w:val="00F70665"/>
    <w:rsid w:val="00F924D1"/>
    <w:rsid w:val="00F958C2"/>
    <w:rsid w:val="00FA0E29"/>
    <w:rsid w:val="00FF7804"/>
    <w:rsid w:val="129D766F"/>
    <w:rsid w:val="3B52676B"/>
    <w:rsid w:val="4489781A"/>
    <w:rsid w:val="5D5E2E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uiPriority w:val="99"/>
    <w:rPr>
      <w:rFonts w:ascii="Times New Roman" w:hAnsi="Times New Roman" w:cs="Times New Roman"/>
    </w:rPr>
  </w:style>
  <w:style w:type="paragraph" w:styleId="5">
    <w:name w:val="toc 2"/>
    <w:basedOn w:val="1"/>
    <w:next w:val="1"/>
    <w:semiHidden/>
    <w:uiPriority w:val="99"/>
    <w:pPr>
      <w:ind w:left="420" w:leftChars="200"/>
    </w:pPr>
    <w:rPr>
      <w:rFonts w:ascii="Times New Roman" w:hAnsi="Times New Roman" w:cs="Times New Roman"/>
    </w:rPr>
  </w:style>
  <w:style w:type="character" w:customStyle="1" w:styleId="8">
    <w:name w:val="Footer Char"/>
    <w:basedOn w:val="7"/>
    <w:link w:val="2"/>
    <w:locked/>
    <w:uiPriority w:val="99"/>
    <w:rPr>
      <w:rFonts w:ascii="Times New Roman" w:hAnsi="Times New Roman" w:eastAsia="宋体" w:cs="Times New Roman"/>
      <w:sz w:val="18"/>
      <w:szCs w:val="18"/>
    </w:rPr>
  </w:style>
  <w:style w:type="character" w:customStyle="1" w:styleId="9">
    <w:name w:val="Header Char"/>
    <w:basedOn w:val="7"/>
    <w:link w:val="3"/>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14</Pages>
  <Words>776</Words>
  <Characters>4425</Characters>
  <Lines>0</Lines>
  <Paragraphs>0</Paragraphs>
  <TotalTime>15</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2017-06-26T07:39:00Z</dcterms:created>
  <dc:creator>guest</dc:creator>
  <cp:lastModifiedBy>A秋风不懂叶 的美</cp:lastModifiedBy>
  <dcterms:modified xsi:type="dcterms:W3CDTF">2023-11-06T03:13:41Z</dcterms:modified>
  <dc:title>河北省廊坊市大厂回族自治县供销合作社</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340A32D12D684F179CC95D53D9CA79F7</vt:lpwstr>
  </property>
</Properties>
</file>